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7A1C" w14:textId="77777777" w:rsidR="00515261" w:rsidRDefault="00000000">
      <w:pPr>
        <w:pStyle w:val="TOC1"/>
        <w:ind w:left="0"/>
        <w:jc w:val="left"/>
        <w:rPr>
          <w:color w:val="808080"/>
        </w:rPr>
      </w:pPr>
      <w:r>
        <w:rPr>
          <w:color w:val="808080"/>
        </w:rPr>
        <w:t xml:space="preserve">Introducing the star market barometer  </w:t>
      </w:r>
    </w:p>
    <w:p w14:paraId="32E24AAE" w14:textId="77777777" w:rsidR="00515261" w:rsidRDefault="00000000">
      <w:pPr>
        <w:rPr>
          <w:rFonts w:ascii="Arial" w:hAnsi="Arial" w:cs="Arial"/>
        </w:rPr>
      </w:pPr>
      <w:r>
        <w:rPr>
          <w:rFonts w:ascii="Arial" w:hAnsi="Arial" w:cs="Arial"/>
        </w:rPr>
        <w:t xml:space="preserve">By October this year I will have been producing the STAR Newsletter every month for 30 years and for the past decade I have included, in the newsletter, charts that illustrate the movement in the consensus estimates of leading analysts relating to their expectations of the future trend in UK corporate earnings. The charts are derived from aggregated data provided by </w:t>
      </w:r>
      <w:proofErr w:type="spellStart"/>
      <w:r>
        <w:rPr>
          <w:rFonts w:ascii="Arial" w:hAnsi="Arial" w:cs="Arial"/>
        </w:rPr>
        <w:t>Sharescope</w:t>
      </w:r>
      <w:proofErr w:type="spellEnd"/>
      <w:r>
        <w:rPr>
          <w:rFonts w:ascii="Arial" w:hAnsi="Arial" w:cs="Arial"/>
        </w:rPr>
        <w:t xml:space="preserve"> that cover both historic and estimated forward earnings of the largest companies listed on the LSE main market. </w:t>
      </w:r>
    </w:p>
    <w:p w14:paraId="2E57CC21" w14:textId="77777777" w:rsidR="00515261" w:rsidRDefault="00000000">
      <w:pPr>
        <w:rPr>
          <w:rFonts w:ascii="Arial" w:hAnsi="Arial" w:cs="Arial"/>
        </w:rPr>
      </w:pPr>
      <w:r>
        <w:rPr>
          <w:rFonts w:ascii="Arial" w:hAnsi="Arial" w:cs="Arial"/>
        </w:rPr>
        <w:t>The original aim of this exercise was to provide readers of the newsletter with a general indication of the changing trend in estimates month by month rather than the actual percentage movements per se as I have found these often tend to be over-optimistic</w:t>
      </w:r>
    </w:p>
    <w:p w14:paraId="793EDC6F" w14:textId="77777777" w:rsidR="00515261" w:rsidRDefault="00000000">
      <w:pPr>
        <w:rPr>
          <w:rFonts w:ascii="Arial" w:hAnsi="Arial" w:cs="Arial"/>
        </w:rPr>
      </w:pPr>
      <w:r>
        <w:rPr>
          <w:rFonts w:ascii="Arial" w:hAnsi="Arial" w:cs="Arial"/>
        </w:rPr>
        <w:t xml:space="preserve">The chart, below, illustrates the percentage change, month by month, in earnings estimates for the largest 450 LSE main market listed companies compared with the monthly movement in the </w:t>
      </w:r>
      <w:proofErr w:type="gramStart"/>
      <w:r>
        <w:rPr>
          <w:rFonts w:ascii="Arial" w:hAnsi="Arial" w:cs="Arial"/>
        </w:rPr>
        <w:t>All Share</w:t>
      </w:r>
      <w:proofErr w:type="gramEnd"/>
      <w:r>
        <w:rPr>
          <w:rFonts w:ascii="Arial" w:hAnsi="Arial" w:cs="Arial"/>
        </w:rPr>
        <w:t xml:space="preserve"> Index (ASI) over the same period. The movement in earnings estimates has been calculated by comparing the estimated total earnings for the next full reporting year (Year 2) of all the companies covered with the comparable aggregated estimates over the previous 3 months. Similarly, the change in the ASI compares the most recent monthly value with the mean of the index values for each of the past three months.  </w:t>
      </w:r>
    </w:p>
    <w:p w14:paraId="7B9B9557" w14:textId="77777777" w:rsidR="00515261" w:rsidRDefault="00000000">
      <w:pPr>
        <w:jc w:val="center"/>
        <w:rPr>
          <w:rFonts w:ascii="Arial" w:hAnsi="Arial" w:cs="Arial"/>
          <w:b/>
          <w:bCs/>
          <w:color w:val="FFFFFF"/>
        </w:rPr>
      </w:pPr>
      <w:r>
        <w:rPr>
          <w:rFonts w:ascii="Arial" w:hAnsi="Arial" w:cs="Arial"/>
          <w:b/>
          <w:bCs/>
          <w:color w:val="FFFFFF"/>
        </w:rPr>
        <w:t>STAR Market Barometer August 2022</w:t>
      </w:r>
    </w:p>
    <w:p w14:paraId="1ABD3719" w14:textId="77777777" w:rsidR="00515261" w:rsidRDefault="00000000">
      <w:pPr>
        <w:jc w:val="center"/>
      </w:pPr>
      <w:r>
        <w:rPr>
          <w:noProof/>
        </w:rPr>
        <w:drawing>
          <wp:inline distT="0" distB="0" distL="0" distR="0" wp14:anchorId="19C24EAB" wp14:editId="17D1124A">
            <wp:extent cx="4310381" cy="2983230"/>
            <wp:effectExtent l="19050" t="19050" r="1397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7F783BC" w14:textId="77777777" w:rsidR="00515261" w:rsidRDefault="00000000">
      <w:pPr>
        <w:jc w:val="center"/>
        <w:rPr>
          <w:rFonts w:cs="Calibri"/>
          <w:b/>
          <w:bCs/>
          <w:sz w:val="16"/>
          <w:szCs w:val="16"/>
        </w:rPr>
      </w:pPr>
      <w:r>
        <w:rPr>
          <w:rFonts w:cs="Calibri"/>
          <w:b/>
          <w:bCs/>
          <w:sz w:val="16"/>
          <w:szCs w:val="16"/>
        </w:rPr>
        <w:t xml:space="preserve">Source: STAR Newsletter chart derived from data supplied by </w:t>
      </w:r>
      <w:proofErr w:type="spellStart"/>
      <w:r>
        <w:rPr>
          <w:rFonts w:cs="Calibri"/>
          <w:b/>
          <w:bCs/>
          <w:sz w:val="16"/>
          <w:szCs w:val="16"/>
        </w:rPr>
        <w:t>Sharescope</w:t>
      </w:r>
      <w:proofErr w:type="spellEnd"/>
    </w:p>
    <w:p w14:paraId="1D85B258" w14:textId="77777777" w:rsidR="00515261" w:rsidRDefault="00000000">
      <w:pPr>
        <w:rPr>
          <w:rFonts w:ascii="Arial" w:hAnsi="Arial" w:cs="Arial"/>
        </w:rPr>
      </w:pPr>
      <w:r>
        <w:rPr>
          <w:rFonts w:ascii="Arial" w:hAnsi="Arial" w:cs="Arial"/>
        </w:rPr>
        <w:t>It is interesting that the movement in the earnings line appears to be an exaggerated version of the movement in the wider market. There may be a temptation to deduce that the consensus estimates represent a magnified lagging indicator rather than a useful predictor of the future market direction but whatever the conclusions I find it a visually useful component of the newsletter that provides an overview of the possible market direction.</w:t>
      </w:r>
    </w:p>
    <w:p w14:paraId="2D1794CA" w14:textId="3F328431" w:rsidR="00515261" w:rsidRDefault="00000000">
      <w:r>
        <w:rPr>
          <w:rFonts w:ascii="Arial" w:hAnsi="Arial" w:cs="Arial"/>
        </w:rPr>
        <w:t xml:space="preserve">If any UKSA member would like to comment, raise queries or make suggestions do please take a look at the News and Views section of the STAR website at </w:t>
      </w:r>
      <w:hyperlink r:id="rId7" w:history="1">
        <w:r>
          <w:rPr>
            <w:rStyle w:val="Hyperlink"/>
            <w:rFonts w:ascii="Arial" w:hAnsi="Arial" w:cs="Arial"/>
          </w:rPr>
          <w:t>www.starinvestorhub.uk</w:t>
        </w:r>
      </w:hyperlink>
      <w:r>
        <w:rPr>
          <w:rFonts w:ascii="Arial" w:hAnsi="Arial" w:cs="Arial"/>
        </w:rPr>
        <w:t xml:space="preserve"> or email me at </w:t>
      </w:r>
      <w:hyperlink r:id="rId8" w:history="1">
        <w:r>
          <w:rPr>
            <w:rStyle w:val="Hyperlink"/>
            <w:rFonts w:ascii="Arial" w:hAnsi="Arial" w:cs="Arial"/>
          </w:rPr>
          <w:t>johnmulligan01@gmail.com</w:t>
        </w:r>
      </w:hyperlink>
      <w:r>
        <w:rPr>
          <w:rFonts w:ascii="Arial" w:hAnsi="Arial" w:cs="Arial"/>
        </w:rPr>
        <w:t>.</w:t>
      </w:r>
    </w:p>
    <w:p w14:paraId="7CB3D369" w14:textId="77777777" w:rsidR="00515261" w:rsidRDefault="00000000">
      <w:r>
        <w:t xml:space="preserve">John Mulligan </w:t>
      </w:r>
    </w:p>
    <w:sectPr w:rsidR="005152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986E" w14:textId="77777777" w:rsidR="00C46B9E" w:rsidRDefault="00C46B9E">
      <w:pPr>
        <w:spacing w:after="0" w:line="240" w:lineRule="auto"/>
      </w:pPr>
      <w:r>
        <w:separator/>
      </w:r>
    </w:p>
  </w:endnote>
  <w:endnote w:type="continuationSeparator" w:id="0">
    <w:p w14:paraId="48430AB4" w14:textId="77777777" w:rsidR="00C46B9E" w:rsidRDefault="00C4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9337" w14:textId="77777777" w:rsidR="00C46B9E" w:rsidRDefault="00C46B9E">
      <w:pPr>
        <w:spacing w:after="0" w:line="240" w:lineRule="auto"/>
      </w:pPr>
      <w:r>
        <w:rPr>
          <w:color w:val="000000"/>
        </w:rPr>
        <w:separator/>
      </w:r>
    </w:p>
  </w:footnote>
  <w:footnote w:type="continuationSeparator" w:id="0">
    <w:p w14:paraId="6C138410" w14:textId="77777777" w:rsidR="00C46B9E" w:rsidRDefault="00C46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61"/>
    <w:rsid w:val="00420737"/>
    <w:rsid w:val="00515261"/>
    <w:rsid w:val="00BD6434"/>
    <w:rsid w:val="00C46B9E"/>
    <w:rsid w:val="00CB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F133"/>
  <w15:docId w15:val="{7D563ACE-E879-4079-915B-CF80FC1C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80" w:line="240" w:lineRule="atLeast"/>
      <w:jc w:val="both"/>
    </w:pPr>
    <w:rPr>
      <w:rFonts w:eastAsia="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pPr>
      <w:tabs>
        <w:tab w:val="right" w:pos="10541"/>
      </w:tabs>
      <w:spacing w:line="320" w:lineRule="exact"/>
      <w:ind w:left="1797"/>
    </w:pPr>
    <w:rPr>
      <w:b/>
      <w:caps/>
      <w:sz w:val="28"/>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hnmulligan01@gmail.com" TargetMode="External"/><Relationship Id="rId3" Type="http://schemas.openxmlformats.org/officeDocument/2006/relationships/webSettings" Target="webSettings.xml"/><Relationship Id="rId7" Type="http://schemas.openxmlformats.org/officeDocument/2006/relationships/hyperlink" Target="file:///C:\UKSA%20and%20STAR\www.starinvestorhub.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200" b="1" i="0" u="none" strike="noStrike" kern="1200" spc="0" baseline="0">
                <a:solidFill>
                  <a:srgbClr val="595959"/>
                </a:solidFill>
                <a:latin typeface="Calibri"/>
              </a:defRPr>
            </a:pPr>
            <a:r>
              <a:rPr lang="en-US" sz="1200" b="1" i="0" u="none" strike="noStrike" kern="1200" cap="none" spc="0" baseline="0">
                <a:solidFill>
                  <a:srgbClr val="595959"/>
                </a:solidFill>
                <a:uFillTx/>
                <a:latin typeface="Calibri"/>
              </a:rPr>
              <a:t>Monthly Movement in EPS Estimates  Vs ASI in 2022</a:t>
            </a:r>
          </a:p>
        </c:rich>
      </c:tx>
      <c:overlay val="0"/>
      <c:spPr>
        <a:noFill/>
        <a:ln>
          <a:noFill/>
        </a:ln>
      </c:spPr>
    </c:title>
    <c:autoTitleDeleted val="0"/>
    <c:plotArea>
      <c:layout>
        <c:manualLayout>
          <c:layoutTarget val="inner"/>
          <c:xMode val="edge"/>
          <c:yMode val="edge"/>
          <c:x val="8.4131097490244486E-2"/>
          <c:y val="0.14450578735129371"/>
          <c:w val="0.88886664284819439"/>
          <c:h val="0.72445436657582551"/>
        </c:manualLayout>
      </c:layout>
      <c:lineChart>
        <c:grouping val="standard"/>
        <c:varyColors val="0"/>
        <c:ser>
          <c:idx val="0"/>
          <c:order val="0"/>
          <c:tx>
            <c:v>EPS </c:v>
          </c:tx>
          <c:spPr>
            <a:ln w="28575" cap="rnd">
              <a:solidFill>
                <a:srgbClr val="70AD47"/>
              </a:solidFill>
              <a:prstDash val="solid"/>
              <a:round/>
            </a:ln>
          </c:spPr>
          <c:marker>
            <c:symbol val="none"/>
          </c:marker>
          <c:cat>
            <c:strLit>
              <c:ptCount val="9"/>
              <c:pt idx="0">
                <c:v>1</c:v>
              </c:pt>
              <c:pt idx="1">
                <c:v>2</c:v>
              </c:pt>
              <c:pt idx="2">
                <c:v>3</c:v>
              </c:pt>
              <c:pt idx="3">
                <c:v>4</c:v>
              </c:pt>
              <c:pt idx="4">
                <c:v>5</c:v>
              </c:pt>
              <c:pt idx="5">
                <c:v>6</c:v>
              </c:pt>
              <c:pt idx="6">
                <c:v>7</c:v>
              </c:pt>
              <c:pt idx="7">
                <c:v>8</c:v>
              </c:pt>
              <c:pt idx="8">
                <c:v>9</c:v>
              </c:pt>
            </c:strLit>
          </c:cat>
          <c:val>
            <c:numLit>
              <c:formatCode>General</c:formatCode>
              <c:ptCount val="9"/>
              <c:pt idx="0">
                <c:v>3.3428165007112369</c:v>
              </c:pt>
              <c:pt idx="1">
                <c:v>7.7225433526011642</c:v>
              </c:pt>
              <c:pt idx="2">
                <c:v>7.978363759296812</c:v>
              </c:pt>
              <c:pt idx="3">
                <c:v>-8.6899847925266158</c:v>
              </c:pt>
              <c:pt idx="4">
                <c:v>-7.5807514831905252</c:v>
              </c:pt>
              <c:pt idx="5">
                <c:v>7.5909090909091219</c:v>
              </c:pt>
              <c:pt idx="6">
                <c:v>2.9217073727459564</c:v>
              </c:pt>
              <c:pt idx="7">
                <c:v>-1.8</c:v>
              </c:pt>
              <c:pt idx="8">
                <c:v>-2.9</c:v>
              </c:pt>
            </c:numLit>
          </c:val>
          <c:smooth val="0"/>
          <c:extLst>
            <c:ext xmlns:c16="http://schemas.microsoft.com/office/drawing/2014/chart" uri="{C3380CC4-5D6E-409C-BE32-E72D297353CC}">
              <c16:uniqueId val="{00000000-9954-4051-8B20-93715333BBB6}"/>
            </c:ext>
          </c:extLst>
        </c:ser>
        <c:ser>
          <c:idx val="1"/>
          <c:order val="1"/>
          <c:tx>
            <c:v>ASI</c:v>
          </c:tx>
          <c:spPr>
            <a:ln w="28575" cap="rnd">
              <a:solidFill>
                <a:srgbClr val="5B9BD5"/>
              </a:solidFill>
              <a:prstDash val="solid"/>
              <a:round/>
            </a:ln>
          </c:spPr>
          <c:marker>
            <c:symbol val="none"/>
          </c:marker>
          <c:cat>
            <c:strLit>
              <c:ptCount val="9"/>
              <c:pt idx="0">
                <c:v>1</c:v>
              </c:pt>
              <c:pt idx="1">
                <c:v>2</c:v>
              </c:pt>
              <c:pt idx="2">
                <c:v>3</c:v>
              </c:pt>
              <c:pt idx="3">
                <c:v>4</c:v>
              </c:pt>
              <c:pt idx="4">
                <c:v>5</c:v>
              </c:pt>
              <c:pt idx="5">
                <c:v>6</c:v>
              </c:pt>
              <c:pt idx="6">
                <c:v>7</c:v>
              </c:pt>
              <c:pt idx="7">
                <c:v>8</c:v>
              </c:pt>
              <c:pt idx="8">
                <c:v>9</c:v>
              </c:pt>
            </c:strLit>
          </c:cat>
          <c:val>
            <c:numLit>
              <c:formatCode>General</c:formatCode>
              <c:ptCount val="9"/>
              <c:pt idx="0">
                <c:v>-0.97442143727161579</c:v>
              </c:pt>
              <c:pt idx="1">
                <c:v>2.9354207436399236</c:v>
              </c:pt>
              <c:pt idx="2">
                <c:v>0.97525590392520201</c:v>
              </c:pt>
              <c:pt idx="3">
                <c:v>-0.85950678769380318</c:v>
              </c:pt>
              <c:pt idx="4">
                <c:v>1.2722035525684134</c:v>
              </c:pt>
              <c:pt idx="5">
                <c:v>0.17587337117275581</c:v>
              </c:pt>
              <c:pt idx="6">
                <c:v>-3.1654676258992822</c:v>
              </c:pt>
              <c:pt idx="7">
                <c:v>-3</c:v>
              </c:pt>
              <c:pt idx="8">
                <c:v>-1.1000000000000001</c:v>
              </c:pt>
            </c:numLit>
          </c:val>
          <c:smooth val="0"/>
          <c:extLst>
            <c:ext xmlns:c16="http://schemas.microsoft.com/office/drawing/2014/chart" uri="{C3380CC4-5D6E-409C-BE32-E72D297353CC}">
              <c16:uniqueId val="{00000001-9954-4051-8B20-93715333BBB6}"/>
            </c:ext>
          </c:extLst>
        </c:ser>
        <c:dLbls>
          <c:showLegendKey val="0"/>
          <c:showVal val="0"/>
          <c:showCatName val="0"/>
          <c:showSerName val="0"/>
          <c:showPercent val="0"/>
          <c:showBubbleSize val="0"/>
        </c:dLbls>
        <c:smooth val="0"/>
        <c:axId val="1264662175"/>
        <c:axId val="1264661759"/>
      </c:lineChart>
      <c:valAx>
        <c:axId val="1264661759"/>
        <c:scaling>
          <c:orientation val="minMax"/>
        </c:scaling>
        <c:delete val="0"/>
        <c:axPos val="l"/>
        <c:majorGridlines>
          <c:spPr>
            <a:ln w="9528" cap="flat">
              <a:solidFill>
                <a:srgbClr val="D9D9D9"/>
              </a:solidFill>
              <a:prstDash val="solid"/>
              <a:round/>
            </a:ln>
          </c:spPr>
        </c:majorGridlines>
        <c:numFmt formatCode="0.0"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264662175"/>
        <c:crosses val="autoZero"/>
        <c:crossBetween val="between"/>
      </c:valAx>
      <c:catAx>
        <c:axId val="1264662175"/>
        <c:scaling>
          <c:orientation val="minMax"/>
        </c:scaling>
        <c:delete val="1"/>
        <c:axPos val="b"/>
        <c:numFmt formatCode="General" sourceLinked="0"/>
        <c:majorTickMark val="none"/>
        <c:minorTickMark val="none"/>
        <c:tickLblPos val="nextTo"/>
        <c:crossAx val="1264661759"/>
        <c:crosses val="autoZero"/>
        <c:auto val="1"/>
        <c:lblAlgn val="ctr"/>
        <c:lblOffset val="100"/>
        <c:noMultiLvlLbl val="0"/>
      </c:catAx>
      <c:spPr>
        <a:noFill/>
        <a:ln>
          <a:noFill/>
        </a:ln>
      </c:spPr>
    </c:plotArea>
    <c:legend>
      <c:legendPos val="r"/>
      <c:layout>
        <c:manualLayout>
          <c:xMode val="edge"/>
          <c:yMode val="edge"/>
          <c:x val="0.17337891322806806"/>
          <c:y val="0.57613962047847478"/>
          <c:w val="0.18709440930962004"/>
          <c:h val="0.18199937651471726"/>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1000" b="1" i="0" u="none" strike="noStrike" kern="1200" baseline="0">
              <a:solidFill>
                <a:srgbClr val="595959"/>
              </a:solidFill>
              <a:latin typeface="Calibri"/>
              <a:cs typeface="Arial" pitchFamily="34"/>
            </a:defRPr>
          </a:pPr>
          <a:endParaRPr lang="en-US"/>
        </a:p>
      </c:txPr>
    </c:legend>
    <c:plotVisOnly val="1"/>
    <c:dispBlanksAs val="gap"/>
    <c:showDLblsOverMax val="0"/>
  </c:chart>
  <c:spPr>
    <a:solidFill>
      <a:srgbClr val="FFFFFF"/>
    </a:solidFill>
    <a:ln w="28575"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0.09866</cdr:x>
      <cdr:y>0.8862</cdr:y>
    </cdr:from>
    <cdr:to>
      <cdr:x>0.94137</cdr:x>
      <cdr:y>1</cdr:y>
    </cdr:to>
    <cdr:sp macro="" textlink="">
      <cdr:nvSpPr>
        <cdr:cNvPr id="2" name="TextBox 1"/>
        <cdr:cNvSpPr txBox="1"/>
      </cdr:nvSpPr>
      <cdr:spPr>
        <a:xfrm xmlns:a="http://schemas.openxmlformats.org/drawingml/2006/main">
          <a:off x="425270" y="2643748"/>
          <a:ext cx="3632380" cy="339482"/>
        </a:xfrm>
        <a:prstGeom xmlns:a="http://schemas.openxmlformats.org/drawingml/2006/main" prst="rect">
          <a:avLst/>
        </a:prstGeom>
        <a:noFill xmlns:a="http://schemas.openxmlformats.org/drawingml/2006/main"/>
        <a:ln xmlns:a="http://schemas.openxmlformats.org/drawingml/2006/main" cap="flat">
          <a:noFill/>
        </a:ln>
      </cdr:spPr>
      <cdr:txBody>
        <a:bodyPr xmlns:a="http://schemas.openxmlformats.org/drawingml/2006/main" vert="horz" wrap="square" lIns="91440" tIns="45720" rIns="91440" bIns="45720" anchor="t" anchorCtr="0" compatLnSpc="0">
          <a:noAutofit/>
        </a:bodyPr>
        <a:lstStyle xmlns:a="http://schemas.openxmlformats.org/drawingml/2006/main"/>
        <a:p xmlns:a="http://schemas.openxmlformats.org/drawingml/2006/main">
          <a:pPr marL="0" marR="0" lvl="0" indent="0" defTabSz="914400" rtl="0" fontAlgn="auto" hangingPunct="1">
            <a:lnSpc>
              <a:spcPct val="100000"/>
            </a:lnSpc>
            <a:spcBef>
              <a:spcPts val="0"/>
            </a:spcBef>
            <a:spcAft>
              <a:spcPts val="0"/>
            </a:spcAft>
            <a:buNone/>
            <a:tabLst/>
            <a:defRPr sz="1800" b="0" i="0" u="none" strike="noStrike" kern="0" cap="none" spc="0" baseline="0">
              <a:solidFill>
                <a:srgbClr val="000000"/>
              </a:solidFill>
              <a:uFillTx/>
            </a:defRPr>
          </a:pPr>
          <a:r>
            <a:rPr lang="en-GB" sz="1100" b="1" i="0" u="none" strike="noStrike" kern="0" cap="none" spc="0" baseline="0">
              <a:solidFill>
                <a:srgbClr val="000000"/>
              </a:solidFill>
              <a:uFillTx/>
              <a:latin typeface="Calibri"/>
            </a:rPr>
            <a:t>Dec 2021                                                                August 2022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Mulligan</dc:creator>
  <dc:description/>
  <cp:lastModifiedBy>John Mulligan</cp:lastModifiedBy>
  <cp:revision>3</cp:revision>
  <dcterms:created xsi:type="dcterms:W3CDTF">2022-07-27T09:45:00Z</dcterms:created>
  <dcterms:modified xsi:type="dcterms:W3CDTF">2022-07-27T09:50:00Z</dcterms:modified>
</cp:coreProperties>
</file>